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left"/>
        <w:rPr>
          <w:rFonts w:hint="default" w:eastAsia="方正小标宋_GBK"/>
          <w:bCs/>
          <w:kern w:val="0"/>
          <w:sz w:val="36"/>
          <w:szCs w:val="36"/>
          <w:lang w:val="en-US" w:eastAsia="zh-CN"/>
        </w:rPr>
      </w:pPr>
      <w:r>
        <w:rPr>
          <w:rFonts w:hint="eastAsia" w:eastAsia="方正小标宋_GBK"/>
          <w:bCs/>
          <w:kern w:val="0"/>
          <w:sz w:val="36"/>
          <w:szCs w:val="36"/>
          <w:lang w:val="en-US" w:eastAsia="zh-CN"/>
        </w:rPr>
        <w:t>附件1</w:t>
      </w:r>
      <w:bookmarkStart w:id="0" w:name="_GoBack"/>
      <w:bookmarkEnd w:id="0"/>
    </w:p>
    <w:p>
      <w:pPr>
        <w:spacing w:before="240" w:beforeLines="100" w:after="240" w:afterLines="100"/>
        <w:jc w:val="center"/>
        <w:rPr>
          <w:rFonts w:eastAsia="楷体_GB2312"/>
          <w:bCs/>
          <w:kern w:val="0"/>
          <w:sz w:val="32"/>
          <w:szCs w:val="32"/>
        </w:rPr>
      </w:pPr>
      <w:r>
        <w:rPr>
          <w:rFonts w:hint="eastAsia" w:eastAsia="方正小标宋_GBK"/>
          <w:bCs/>
          <w:kern w:val="0"/>
          <w:sz w:val="36"/>
          <w:szCs w:val="36"/>
          <w:lang w:val="en-US" w:eastAsia="zh-CN"/>
        </w:rPr>
        <w:t>2021</w:t>
      </w:r>
      <w:r>
        <w:rPr>
          <w:rFonts w:eastAsia="方正小标宋_GBK"/>
          <w:bCs/>
          <w:kern w:val="0"/>
          <w:sz w:val="36"/>
          <w:szCs w:val="36"/>
        </w:rPr>
        <w:t>年部门整体支出绩效目标表</w:t>
      </w:r>
    </w:p>
    <w:p>
      <w:pPr>
        <w:widowControl/>
        <w:tabs>
          <w:tab w:val="left" w:pos="2593"/>
        </w:tabs>
        <w:jc w:val="left"/>
        <w:rPr>
          <w:rFonts w:hint="eastAsia"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p>
    <w:tbl>
      <w:tblPr>
        <w:tblStyle w:val="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部门名称</w:t>
            </w:r>
          </w:p>
        </w:tc>
        <w:tc>
          <w:tcPr>
            <w:tcW w:w="7681" w:type="dxa"/>
            <w:gridSpan w:val="5"/>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lang w:val="en-US" w:eastAsia="zh-CN"/>
              </w:rPr>
              <w:t>邵阳市机关事务管理局</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81" w:type="dxa"/>
            <w:gridSpan w:val="5"/>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default" w:ascii="仿宋_GB2312" w:eastAsia="仿宋_GB2312"/>
                <w:kern w:val="0"/>
                <w:szCs w:val="21"/>
                <w:lang w:val="en-US" w:eastAsia="zh-CN"/>
              </w:rPr>
              <w:t>2097.97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按收入性质分：</w:t>
            </w:r>
          </w:p>
        </w:tc>
        <w:tc>
          <w:tcPr>
            <w:tcW w:w="3741" w:type="dxa"/>
            <w:gridSpan w:val="2"/>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default" w:ascii="仿宋_GB2312" w:eastAsia="仿宋_GB2312"/>
                <w:kern w:val="0"/>
                <w:szCs w:val="21"/>
                <w:lang w:val="en-US" w:eastAsia="zh-CN"/>
              </w:rPr>
              <w:t>2097.97</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default" w:ascii="仿宋_GB2312" w:eastAsia="仿宋_GB2312"/>
                <w:kern w:val="0"/>
                <w:szCs w:val="21"/>
                <w:lang w:val="en-US" w:eastAsia="zh-CN"/>
              </w:rPr>
              <w:t>517.97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其他资金：</w:t>
            </w:r>
          </w:p>
        </w:tc>
        <w:tc>
          <w:tcPr>
            <w:tcW w:w="3741" w:type="dxa"/>
            <w:gridSpan w:val="2"/>
            <w:noWrap w:val="0"/>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部门职能</w:t>
            </w:r>
          </w:p>
          <w:p>
            <w:pPr>
              <w:widowControl/>
              <w:jc w:val="center"/>
              <w:rPr>
                <w:rFonts w:hint="eastAsia" w:ascii="仿宋_GB2312" w:eastAsia="仿宋_GB2312"/>
                <w:kern w:val="0"/>
                <w:szCs w:val="21"/>
              </w:rPr>
            </w:pPr>
            <w:r>
              <w:rPr>
                <w:rFonts w:hint="eastAsia" w:ascii="仿宋_GB2312" w:eastAsia="仿宋_GB2312"/>
                <w:kern w:val="0"/>
                <w:szCs w:val="21"/>
              </w:rPr>
              <w:t>职责概述</w:t>
            </w:r>
          </w:p>
        </w:tc>
        <w:tc>
          <w:tcPr>
            <w:tcW w:w="7681" w:type="dxa"/>
            <w:gridSpan w:val="5"/>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1、负责市直机关事务的管理、保障和服务工作；组织拟订市直机关事务管理和后勤体制改革工作的具体政策、规章制度和标准并监督实施;负责指导市直机关后勤服务单位业务工作;会同有关部门协调解决机关后勤工作中的有关问题。　　</w:t>
            </w:r>
          </w:p>
          <w:p>
            <w:pPr>
              <w:widowControl/>
              <w:jc w:val="left"/>
              <w:rPr>
                <w:rFonts w:hint="eastAsia" w:ascii="仿宋_GB2312" w:eastAsia="仿宋_GB2312"/>
                <w:kern w:val="0"/>
                <w:szCs w:val="21"/>
              </w:rPr>
            </w:pPr>
            <w:r>
              <w:rPr>
                <w:rFonts w:hint="eastAsia" w:ascii="仿宋_GB2312" w:eastAsia="仿宋_GB2312"/>
                <w:kern w:val="0"/>
                <w:szCs w:val="21"/>
              </w:rPr>
              <w:t>2、负责市直行政事业单位非经营性国有资产管理，承担产权界定、清查登记、资产处置工作。</w:t>
            </w:r>
          </w:p>
          <w:p>
            <w:pPr>
              <w:widowControl/>
              <w:jc w:val="left"/>
              <w:rPr>
                <w:rFonts w:hint="eastAsia" w:ascii="仿宋_GB2312" w:eastAsia="仿宋_GB2312"/>
                <w:kern w:val="0"/>
                <w:szCs w:val="21"/>
              </w:rPr>
            </w:pPr>
            <w:r>
              <w:rPr>
                <w:rFonts w:hint="eastAsia" w:ascii="仿宋_GB2312" w:eastAsia="仿宋_GB2312"/>
                <w:kern w:val="0"/>
                <w:szCs w:val="21"/>
              </w:rPr>
              <w:t>3、负责市直行政事业单位等公务用车的编制、配备、更新、具体处置工作以及预算内专项用于解决市领导和市直单位公务用车的经费管理工作。负责市直行政事业单位、国有企业公务用车改革工作，指导监督全市公务用车管理工作。负责全市公务用车服务平台的建设、监管、运营等事务性工作。</w:t>
            </w:r>
          </w:p>
          <w:p>
            <w:pPr>
              <w:widowControl/>
              <w:jc w:val="left"/>
              <w:rPr>
                <w:rFonts w:hint="eastAsia" w:ascii="仿宋_GB2312" w:eastAsia="仿宋_GB2312"/>
                <w:kern w:val="0"/>
                <w:szCs w:val="21"/>
              </w:rPr>
            </w:pPr>
            <w:r>
              <w:rPr>
                <w:rFonts w:hint="eastAsia" w:ascii="仿宋_GB2312" w:eastAsia="仿宋_GB2312"/>
                <w:kern w:val="0"/>
                <w:szCs w:val="21"/>
              </w:rPr>
              <w:t>4、对市直机关单位的房地产实施管理，制订相关管理制度并监督执行;负责市直党政机关办公用房集中统一管理,协助有关部门管理市直机关的行政建房计划和投资;承担市直机关行政办公用房及其他非经营性项目的集中统一建设职责;负责市直机关办公用房维修管理,承办市直机关房屋维修、危旧房改造事务工作；负责市直机关单位行政用房、住宅建设土地使用权证的有关管理工作。指导全市党政机关办公用房管理和市直机关物业管理工作。</w:t>
            </w:r>
          </w:p>
          <w:p>
            <w:pPr>
              <w:widowControl/>
              <w:jc w:val="left"/>
              <w:rPr>
                <w:rFonts w:hint="eastAsia" w:ascii="仿宋_GB2312" w:eastAsia="仿宋_GB2312"/>
                <w:kern w:val="0"/>
                <w:szCs w:val="21"/>
              </w:rPr>
            </w:pPr>
            <w:r>
              <w:rPr>
                <w:rFonts w:hint="eastAsia" w:ascii="仿宋_GB2312" w:eastAsia="仿宋_GB2312"/>
                <w:kern w:val="0"/>
                <w:szCs w:val="21"/>
              </w:rPr>
              <w:t>5、负责市直机关住房制度改革工作，研究拟订住房制度改革方案和实施细则并组织实施。负责市直公务员周转住房的建设、管理和服务工作。</w:t>
            </w:r>
          </w:p>
          <w:p>
            <w:pPr>
              <w:widowControl/>
              <w:jc w:val="left"/>
              <w:rPr>
                <w:rFonts w:hint="eastAsia" w:ascii="仿宋_GB2312" w:eastAsia="仿宋_GB2312"/>
                <w:kern w:val="0"/>
                <w:szCs w:val="21"/>
              </w:rPr>
            </w:pPr>
            <w:r>
              <w:rPr>
                <w:rFonts w:hint="eastAsia" w:ascii="仿宋_GB2312" w:eastAsia="仿宋_GB2312"/>
                <w:kern w:val="0"/>
                <w:szCs w:val="21"/>
              </w:rPr>
              <w:t>6、承担市直机关政府集中采购工作,组织实施市直机关政府集中采购目录内的政府采购项目，受委托承办集中采购目录外的项目采购；指导县市区政府集中采购工作；负责市直机关控控制社会集团购买力的有关管理工作。</w:t>
            </w:r>
          </w:p>
          <w:p>
            <w:pPr>
              <w:widowControl/>
              <w:jc w:val="left"/>
              <w:rPr>
                <w:rFonts w:hint="eastAsia" w:ascii="仿宋_GB2312" w:eastAsia="仿宋_GB2312"/>
                <w:kern w:val="0"/>
                <w:szCs w:val="21"/>
              </w:rPr>
            </w:pPr>
            <w:r>
              <w:rPr>
                <w:rFonts w:hint="eastAsia" w:ascii="仿宋_GB2312" w:eastAsia="仿宋_GB2312"/>
                <w:kern w:val="0"/>
                <w:szCs w:val="21"/>
              </w:rPr>
              <w:t>7、统筹协调全市公共机构节能工作,会同有关部门制定推动全市公共机构节能的规划、规章制度并组织实施,负责公共机构节约能源管理工作,组织开展能耗统计、监测和评价考核、节能技术改造及专项资金管理工作。</w:t>
            </w:r>
          </w:p>
          <w:p>
            <w:pPr>
              <w:widowControl/>
              <w:jc w:val="left"/>
              <w:rPr>
                <w:rFonts w:hint="eastAsia" w:ascii="仿宋_GB2312" w:eastAsia="仿宋_GB2312"/>
                <w:kern w:val="0"/>
                <w:szCs w:val="21"/>
              </w:rPr>
            </w:pPr>
            <w:r>
              <w:rPr>
                <w:rFonts w:hint="eastAsia" w:ascii="仿宋_GB2312" w:eastAsia="仿宋_GB2312"/>
                <w:kern w:val="0"/>
                <w:szCs w:val="21"/>
              </w:rPr>
              <w:t>8、承担市行政中心区域内的社会治安综合治理、消防、安全、保卫、物业管理等工作。</w:t>
            </w:r>
          </w:p>
          <w:p>
            <w:pPr>
              <w:widowControl/>
              <w:jc w:val="left"/>
              <w:rPr>
                <w:rFonts w:hint="eastAsia" w:ascii="仿宋_GB2312" w:eastAsia="仿宋_GB2312"/>
                <w:kern w:val="0"/>
                <w:szCs w:val="21"/>
              </w:rPr>
            </w:pPr>
            <w:r>
              <w:rPr>
                <w:rFonts w:hint="eastAsia" w:ascii="仿宋_GB2312" w:eastAsia="仿宋_GB2312"/>
                <w:kern w:val="0"/>
                <w:szCs w:val="21"/>
              </w:rPr>
              <w:t>9、按规定指导并组织实施市直机关后勤员工培训工作。指导全市后勤体制改革工作。</w:t>
            </w:r>
          </w:p>
          <w:p>
            <w:pPr>
              <w:widowControl/>
              <w:jc w:val="left"/>
              <w:rPr>
                <w:rFonts w:hint="eastAsia" w:ascii="仿宋_GB2312" w:eastAsia="仿宋_GB2312"/>
                <w:kern w:val="0"/>
                <w:szCs w:val="21"/>
              </w:rPr>
            </w:pPr>
            <w:r>
              <w:rPr>
                <w:rFonts w:hint="eastAsia" w:ascii="仿宋_GB2312" w:eastAsia="仿宋_GB2312"/>
                <w:kern w:val="0"/>
                <w:szCs w:val="21"/>
              </w:rPr>
              <w:t>10、完成市委、市政府交办的其他任务。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整体绩效目标</w:t>
            </w:r>
          </w:p>
        </w:tc>
        <w:tc>
          <w:tcPr>
            <w:tcW w:w="7681" w:type="dxa"/>
            <w:gridSpan w:val="5"/>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1、做好办公用房的调配、归集维修、处置工作，抓好并完善办公用房及土地权证登记与管理工作，加强办公用房维修专项资金的科学管理使用。</w:t>
            </w:r>
          </w:p>
          <w:p>
            <w:pPr>
              <w:widowControl/>
              <w:jc w:val="left"/>
              <w:rPr>
                <w:rFonts w:hint="eastAsia" w:ascii="仿宋_GB2312" w:eastAsia="仿宋_GB2312"/>
                <w:kern w:val="0"/>
                <w:szCs w:val="21"/>
              </w:rPr>
            </w:pPr>
            <w:r>
              <w:rPr>
                <w:rFonts w:hint="eastAsia" w:ascii="仿宋_GB2312" w:eastAsia="仿宋_GB2312"/>
                <w:kern w:val="0"/>
                <w:szCs w:val="21"/>
              </w:rPr>
              <w:t>2、出台并不断完善公车改革后新的公务用车管理办法，建立公务用车标识化、信息化管理新模式，健全公务用车科学管理的长效机制；建立完善改革后公务出行保障用车机制，探索建立全市各级公车改革后统一的公务出行保障用车平台；完成市直单位公车改革后收缴车辆的处置工作；按计划完成公务用车的更新购置；保障平台公务用车的正常运转。</w:t>
            </w:r>
          </w:p>
          <w:p>
            <w:pPr>
              <w:widowControl/>
              <w:jc w:val="left"/>
              <w:rPr>
                <w:rFonts w:hint="eastAsia" w:ascii="仿宋_GB2312" w:eastAsia="仿宋_GB2312"/>
                <w:kern w:val="0"/>
                <w:szCs w:val="21"/>
              </w:rPr>
            </w:pPr>
            <w:r>
              <w:rPr>
                <w:rFonts w:hint="eastAsia" w:ascii="仿宋_GB2312" w:eastAsia="仿宋_GB2312"/>
                <w:kern w:val="0"/>
                <w:szCs w:val="21"/>
              </w:rPr>
              <w:t>3、会同有关部门制定推动全市公共机构节能的规划、规章制度并组织实施，组织开展能耗统计、监测和评价考核、节能技术改造及专项资金管理工作。</w:t>
            </w:r>
          </w:p>
          <w:p>
            <w:pPr>
              <w:widowControl/>
              <w:jc w:val="left"/>
              <w:rPr>
                <w:rFonts w:hint="eastAsia" w:ascii="仿宋_GB2312" w:eastAsia="仿宋_GB2312"/>
                <w:kern w:val="0"/>
                <w:szCs w:val="21"/>
              </w:rPr>
            </w:pPr>
            <w:r>
              <w:rPr>
                <w:rFonts w:hint="eastAsia" w:ascii="仿宋_GB2312" w:eastAsia="仿宋_GB2312"/>
                <w:kern w:val="0"/>
                <w:szCs w:val="21"/>
              </w:rPr>
              <w:t>4、确保管辖范围内治安秩序良好，环境卫生整洁；确保管辖范围内公共设备设施正常运转；确保行政中心机关食堂饭菜可口、安全，用餐环境整洁舒适。严格控制预算指标，不超支，保障行政机关日常办公正常运转。</w:t>
            </w:r>
          </w:p>
          <w:p>
            <w:pPr>
              <w:widowControl/>
              <w:jc w:val="left"/>
              <w:rPr>
                <w:rFonts w:hint="eastAsia" w:ascii="仿宋_GB2312" w:eastAsia="仿宋_GB2312"/>
                <w:kern w:val="0"/>
                <w:szCs w:val="21"/>
              </w:rPr>
            </w:pPr>
            <w:r>
              <w:rPr>
                <w:rFonts w:hint="eastAsia" w:ascii="仿宋_GB2312" w:eastAsia="仿宋_GB2312"/>
                <w:kern w:val="0"/>
                <w:szCs w:val="21"/>
              </w:rPr>
              <w:t>5、按时足额发放干部职工工资</w:t>
            </w:r>
            <w:r>
              <w:rPr>
                <w:rFonts w:hint="eastAsia" w:ascii="仿宋_GB2312" w:eastAsia="仿宋_GB2312"/>
                <w:kern w:val="0"/>
                <w:szCs w:val="21"/>
                <w:lang w:eastAsia="zh-CN"/>
              </w:rPr>
              <w:t>，</w:t>
            </w:r>
            <w:r>
              <w:rPr>
                <w:rFonts w:hint="eastAsia" w:ascii="仿宋_GB2312" w:eastAsia="仿宋_GB2312"/>
                <w:kern w:val="0"/>
                <w:szCs w:val="21"/>
                <w:lang w:val="en-US" w:eastAsia="zh-CN"/>
              </w:rPr>
              <w:t>保障正常</w:t>
            </w:r>
            <w:r>
              <w:rPr>
                <w:rFonts w:hint="eastAsia" w:ascii="仿宋_GB2312" w:eastAsia="仿宋_GB2312"/>
                <w:kern w:val="0"/>
                <w:szCs w:val="21"/>
              </w:rPr>
              <w:t>福利</w:t>
            </w:r>
            <w:r>
              <w:rPr>
                <w:rFonts w:hint="eastAsia" w:ascii="仿宋_GB2312" w:eastAsia="仿宋_GB2312"/>
                <w:kern w:val="0"/>
                <w:szCs w:val="21"/>
                <w:lang w:val="en-US" w:eastAsia="zh-CN"/>
              </w:rPr>
              <w:t>待遇</w:t>
            </w:r>
            <w:r>
              <w:rPr>
                <w:rFonts w:hint="eastAsia" w:ascii="仿宋_GB2312"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部门整体支出</w:t>
            </w:r>
          </w:p>
          <w:p>
            <w:pPr>
              <w:jc w:val="center"/>
              <w:rPr>
                <w:rFonts w:hint="eastAsia" w:ascii="仿宋_GB2312" w:eastAsia="仿宋_GB2312"/>
                <w:kern w:val="0"/>
                <w:szCs w:val="21"/>
              </w:rPr>
            </w:pPr>
            <w:r>
              <w:rPr>
                <w:rFonts w:hint="eastAsia" w:ascii="仿宋_GB2312" w:eastAsia="仿宋_GB2312"/>
                <w:kern w:val="0"/>
                <w:szCs w:val="21"/>
              </w:rPr>
              <w:t>年度绩效指标</w:t>
            </w:r>
          </w:p>
        </w:tc>
        <w:tc>
          <w:tcPr>
            <w:tcW w:w="1147"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一级指标</w:t>
            </w:r>
          </w:p>
        </w:tc>
        <w:tc>
          <w:tcPr>
            <w:tcW w:w="1843"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二级指标</w:t>
            </w:r>
          </w:p>
        </w:tc>
        <w:tc>
          <w:tcPr>
            <w:tcW w:w="2062" w:type="dxa"/>
            <w:gridSpan w:val="2"/>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三级指标</w:t>
            </w:r>
          </w:p>
        </w:tc>
        <w:tc>
          <w:tcPr>
            <w:tcW w:w="2629"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产出指标</w:t>
            </w: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数量指标</w:t>
            </w:r>
          </w:p>
        </w:tc>
        <w:tc>
          <w:tcPr>
            <w:tcW w:w="2062" w:type="dxa"/>
            <w:gridSpan w:val="2"/>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1.公车平台运行；2.创建节约型机关；3.行政中心运行</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1.确保平台39台车辆正常运行，新购5台保障车辆；2.全市创建节约型数量</w:t>
            </w:r>
            <w:r>
              <w:rPr>
                <w:rFonts w:hint="eastAsia" w:ascii="宋体" w:hAnsi="宋体" w:eastAsia="宋体" w:cs="宋体"/>
                <w:kern w:val="0"/>
                <w:szCs w:val="21"/>
                <w:lang w:val="en-US" w:eastAsia="zh-CN"/>
              </w:rPr>
              <w:t>≧</w:t>
            </w:r>
            <w:r>
              <w:rPr>
                <w:rFonts w:hint="eastAsia" w:ascii="仿宋_GB2312" w:eastAsia="仿宋_GB2312"/>
                <w:kern w:val="0"/>
                <w:szCs w:val="21"/>
                <w:lang w:val="en-US" w:eastAsia="zh-CN"/>
              </w:rPr>
              <w:t>25%；3.</w:t>
            </w:r>
            <w:r>
              <w:rPr>
                <w:rFonts w:hint="eastAsia" w:ascii="仿宋_GB2312" w:eastAsia="仿宋_GB2312"/>
                <w:color w:val="000000"/>
                <w:kern w:val="0"/>
                <w:szCs w:val="21"/>
                <w:lang w:val="en-US" w:eastAsia="zh-CN"/>
              </w:rPr>
              <w:t>确保市行政中心、爱莲文化广场正常运转。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color w:val="000000"/>
                <w:kern w:val="0"/>
                <w:szCs w:val="21"/>
                <w:lang w:val="en-US" w:eastAsia="zh-CN"/>
              </w:rPr>
              <w:t>保障邵阳海关周转住房及办公大楼物业的正常使用</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质量指标</w:t>
            </w:r>
          </w:p>
        </w:tc>
        <w:tc>
          <w:tcPr>
            <w:tcW w:w="2062" w:type="dxa"/>
            <w:gridSpan w:val="2"/>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w:t>
            </w:r>
            <w:r>
              <w:rPr>
                <w:rFonts w:hint="eastAsia" w:ascii="仿宋_GB2312" w:eastAsia="仿宋_GB2312"/>
                <w:color w:val="000000"/>
                <w:kern w:val="0"/>
                <w:szCs w:val="21"/>
                <w:lang w:val="en-US" w:eastAsia="zh-CN"/>
              </w:rPr>
              <w:t>车辆完好率、用车安全率、违章率、车辆事故率；2.节能减排示范引导；3.环境卫生整洁率、绿化率、公共设施正常运转率、治安良好率</w:t>
            </w:r>
            <w:r>
              <w:rPr>
                <w:rFonts w:hint="eastAsia" w:ascii="仿宋_GB2312" w:eastAsia="仿宋_GB2312"/>
                <w:color w:val="000000"/>
                <w:kern w:val="0"/>
                <w:szCs w:val="21"/>
              </w:rPr>
              <w:t>　</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w:t>
            </w:r>
            <w:r>
              <w:rPr>
                <w:rFonts w:hint="eastAsia" w:ascii="仿宋_GB2312" w:eastAsia="仿宋_GB2312"/>
                <w:color w:val="000000"/>
                <w:kern w:val="0"/>
                <w:szCs w:val="21"/>
                <w:lang w:val="en-US" w:eastAsia="zh-CN"/>
              </w:rPr>
              <w:t>车辆完好率、用车安全率</w:t>
            </w:r>
            <w:r>
              <w:rPr>
                <w:rFonts w:hint="eastAsia" w:ascii="宋体" w:hAnsi="宋体" w:eastAsia="宋体" w:cs="宋体"/>
                <w:color w:val="000000"/>
                <w:kern w:val="0"/>
                <w:szCs w:val="21"/>
                <w:lang w:val="en-US" w:eastAsia="zh-CN"/>
              </w:rPr>
              <w:t>≧</w:t>
            </w:r>
            <w:r>
              <w:rPr>
                <w:rFonts w:hint="eastAsia" w:ascii="仿宋_GB2312" w:eastAsia="仿宋_GB2312"/>
                <w:color w:val="000000"/>
                <w:kern w:val="0"/>
                <w:szCs w:val="21"/>
                <w:lang w:val="en-US" w:eastAsia="zh-CN"/>
              </w:rPr>
              <w:t>90%，违章率、车辆事故率≦1%；2.节能减排双控指标完成；环境卫生整洁率、绿化率、公共设施正常运转率、治安良好率≧90%。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color w:val="000000"/>
                <w:kern w:val="0"/>
                <w:szCs w:val="21"/>
                <w:lang w:val="en-US" w:eastAsia="zh-CN"/>
              </w:rPr>
              <w:t>海关周转住房及办公大楼物业使用率</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成本指标</w:t>
            </w:r>
          </w:p>
        </w:tc>
        <w:tc>
          <w:tcPr>
            <w:tcW w:w="2062" w:type="dxa"/>
            <w:gridSpan w:val="2"/>
            <w:noWrap w:val="0"/>
            <w:vAlign w:val="center"/>
          </w:tcPr>
          <w:p>
            <w:pPr>
              <w:numPr>
                <w:ilvl w:val="0"/>
                <w:numId w:val="0"/>
              </w:numPr>
              <w:jc w:val="both"/>
              <w:rPr>
                <w:rFonts w:hint="eastAsia" w:ascii="仿宋_GB2312" w:eastAsia="仿宋_GB2312"/>
                <w:kern w:val="0"/>
                <w:szCs w:val="21"/>
                <w:lang w:val="en-US" w:eastAsia="zh-CN"/>
              </w:rPr>
            </w:pPr>
          </w:p>
          <w:p>
            <w:pPr>
              <w:numPr>
                <w:ilvl w:val="0"/>
                <w:numId w:val="0"/>
              </w:numPr>
              <w:jc w:val="both"/>
              <w:rPr>
                <w:rFonts w:hint="default" w:ascii="仿宋_GB2312" w:eastAsia="仿宋_GB2312"/>
                <w:color w:val="000000"/>
                <w:kern w:val="0"/>
                <w:szCs w:val="21"/>
                <w:lang w:val="en-US" w:eastAsia="zh-CN"/>
              </w:rPr>
            </w:pPr>
            <w:r>
              <w:rPr>
                <w:rFonts w:hint="eastAsia" w:ascii="仿宋_GB2312" w:eastAsia="仿宋_GB2312"/>
                <w:kern w:val="0"/>
                <w:szCs w:val="21"/>
                <w:lang w:val="en-US" w:eastAsia="zh-CN"/>
              </w:rPr>
              <w:t>1.工作经费；2.</w:t>
            </w:r>
            <w:r>
              <w:rPr>
                <w:rFonts w:hint="eastAsia" w:ascii="仿宋_GB2312" w:eastAsia="仿宋_GB2312"/>
                <w:color w:val="000000"/>
                <w:kern w:val="0"/>
                <w:szCs w:val="21"/>
                <w:lang w:val="en-US" w:eastAsia="zh-CN"/>
              </w:rPr>
              <w:t>公车平台保障经费；3公车平台公务用车购置经费；4.机关运行维护专项。</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1.工作经费80万元以内；2.公车平台保障经费457万元以内；3.公车平台公务用车购置经费143万元以内；4</w:t>
            </w:r>
            <w:r>
              <w:rPr>
                <w:rFonts w:hint="eastAsia" w:ascii="仿宋_GB2312" w:eastAsia="仿宋_GB2312"/>
                <w:color w:val="000000"/>
                <w:kern w:val="0"/>
                <w:szCs w:val="21"/>
                <w:lang w:val="en-US" w:eastAsia="zh-CN"/>
              </w:rPr>
              <w:t>.机关运行维护专项700万元以内。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w:t>
            </w:r>
          </w:p>
        </w:tc>
        <w:tc>
          <w:tcPr>
            <w:tcW w:w="2629" w:type="dxa"/>
            <w:noWrap w:val="0"/>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时效指标</w:t>
            </w: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color w:val="000000"/>
                <w:kern w:val="0"/>
                <w:szCs w:val="21"/>
                <w:lang w:val="en-US" w:eastAsia="zh-CN"/>
              </w:rPr>
              <w:t>各项工作开展及时有效　</w:t>
            </w:r>
          </w:p>
        </w:tc>
        <w:tc>
          <w:tcPr>
            <w:tcW w:w="2629" w:type="dxa"/>
            <w:noWrap w:val="0"/>
            <w:vAlign w:val="center"/>
          </w:tcPr>
          <w:p>
            <w:pPr>
              <w:jc w:val="center"/>
              <w:rPr>
                <w:rFonts w:hint="eastAsia" w:ascii="仿宋_GB2312" w:eastAsia="仿宋_GB2312"/>
                <w:kern w:val="0"/>
                <w:szCs w:val="21"/>
              </w:rPr>
            </w:pPr>
            <w:r>
              <w:rPr>
                <w:rFonts w:hint="eastAsia" w:ascii="仿宋_GB2312" w:eastAsia="仿宋_GB2312"/>
                <w:color w:val="000000"/>
                <w:kern w:val="0"/>
                <w:szCs w:val="21"/>
                <w:lang w:val="en-US" w:eastAsia="zh-CN"/>
              </w:rPr>
              <w:t>高效率完成各项工作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w:t>
            </w:r>
          </w:p>
        </w:tc>
        <w:tc>
          <w:tcPr>
            <w:tcW w:w="2629" w:type="dxa"/>
            <w:noWrap w:val="0"/>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效益指标</w:t>
            </w: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经济效益指标</w:t>
            </w:r>
          </w:p>
        </w:tc>
        <w:tc>
          <w:tcPr>
            <w:tcW w:w="2062" w:type="dxa"/>
            <w:gridSpan w:val="2"/>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w:t>
            </w:r>
            <w:r>
              <w:rPr>
                <w:rFonts w:hint="eastAsia" w:ascii="仿宋_GB2312" w:eastAsia="仿宋_GB2312"/>
                <w:color w:val="000000"/>
                <w:kern w:val="0"/>
                <w:szCs w:val="21"/>
                <w:lang w:val="en-US" w:eastAsia="zh-CN"/>
              </w:rPr>
              <w:t>公车平台集中管控车辆；2.降低公共机构能耗；3.机关大院及广场统一管理。</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w:t>
            </w:r>
            <w:r>
              <w:rPr>
                <w:rFonts w:hint="eastAsia" w:ascii="仿宋_GB2312" w:eastAsia="仿宋_GB2312"/>
                <w:color w:val="000000"/>
                <w:kern w:val="0"/>
                <w:szCs w:val="21"/>
                <w:lang w:val="en-US" w:eastAsia="zh-CN"/>
              </w:rPr>
              <w:t>有效降低公务用车运行成本；2.有效降低运行成本。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w:t>
            </w:r>
          </w:p>
        </w:tc>
        <w:tc>
          <w:tcPr>
            <w:tcW w:w="2629" w:type="dxa"/>
            <w:noWrap w:val="0"/>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社会效益指标</w:t>
            </w:r>
          </w:p>
        </w:tc>
        <w:tc>
          <w:tcPr>
            <w:tcW w:w="2062" w:type="dxa"/>
            <w:gridSpan w:val="2"/>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w:t>
            </w:r>
            <w:r>
              <w:rPr>
                <w:rFonts w:hint="eastAsia" w:ascii="仿宋_GB2312" w:eastAsia="仿宋_GB2312"/>
                <w:color w:val="000000"/>
                <w:kern w:val="0"/>
                <w:szCs w:val="21"/>
                <w:lang w:val="en-US" w:eastAsia="zh-CN"/>
              </w:rPr>
              <w:t>改善公务用车环境；2.示范引导全社会的节能减排工作；3.营建良好的工作和生活环境</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w:t>
            </w:r>
            <w:r>
              <w:rPr>
                <w:rFonts w:hint="eastAsia" w:ascii="仿宋_GB2312" w:eastAsia="仿宋_GB2312"/>
                <w:color w:val="000000"/>
                <w:kern w:val="0"/>
                <w:szCs w:val="21"/>
                <w:lang w:val="en-US" w:eastAsia="zh-CN"/>
              </w:rPr>
              <w:t>改善公务用车环境；2.示范引导全社会的节能减排工作；3.营建良好的工作和生活环境。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w:t>
            </w:r>
          </w:p>
        </w:tc>
        <w:tc>
          <w:tcPr>
            <w:tcW w:w="2629" w:type="dxa"/>
            <w:noWrap w:val="0"/>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生态效益指标</w:t>
            </w:r>
          </w:p>
        </w:tc>
        <w:tc>
          <w:tcPr>
            <w:tcW w:w="2062" w:type="dxa"/>
            <w:gridSpan w:val="2"/>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w:t>
            </w:r>
            <w:r>
              <w:rPr>
                <w:rFonts w:hint="eastAsia" w:ascii="仿宋_GB2312" w:eastAsia="仿宋_GB2312"/>
                <w:color w:val="000000"/>
                <w:kern w:val="0"/>
                <w:szCs w:val="21"/>
                <w:lang w:val="en-US" w:eastAsia="zh-CN"/>
              </w:rPr>
              <w:t>减少公务用车；2.达到节能降耗的目的，减少环境污染；</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w:t>
            </w:r>
            <w:r>
              <w:rPr>
                <w:rFonts w:hint="eastAsia" w:ascii="仿宋_GB2312" w:eastAsia="仿宋_GB2312"/>
                <w:color w:val="000000"/>
                <w:kern w:val="0"/>
                <w:szCs w:val="21"/>
                <w:lang w:val="en-US" w:eastAsia="zh-CN"/>
              </w:rPr>
              <w:t>同比减少8%公务用车，降低碳排放量，保护环境；2.达到节能降耗的目的，减少环境污染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w:t>
            </w:r>
          </w:p>
        </w:tc>
        <w:tc>
          <w:tcPr>
            <w:tcW w:w="2629" w:type="dxa"/>
            <w:noWrap w:val="0"/>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可持续影响指标</w:t>
            </w:r>
          </w:p>
        </w:tc>
        <w:tc>
          <w:tcPr>
            <w:tcW w:w="2062" w:type="dxa"/>
            <w:gridSpan w:val="2"/>
            <w:noWrap w:val="0"/>
            <w:vAlign w:val="center"/>
          </w:tcPr>
          <w:p>
            <w:pPr>
              <w:jc w:val="center"/>
              <w:rPr>
                <w:rFonts w:hint="default" w:ascii="仿宋_GB2312" w:eastAsia="仿宋_GB2312"/>
                <w:kern w:val="0"/>
                <w:szCs w:val="21"/>
                <w:lang w:val="en-US" w:eastAsia="zh-CN"/>
              </w:rPr>
            </w:pPr>
            <w:r>
              <w:rPr>
                <w:rFonts w:hint="eastAsia" w:ascii="仿宋_GB2312" w:eastAsia="仿宋_GB2312"/>
                <w:color w:val="000000"/>
                <w:kern w:val="0"/>
                <w:szCs w:val="21"/>
                <w:lang w:val="en-US" w:eastAsia="zh-CN"/>
              </w:rPr>
              <w:t>节能意识提高</w:t>
            </w:r>
          </w:p>
        </w:tc>
        <w:tc>
          <w:tcPr>
            <w:tcW w:w="2629" w:type="dxa"/>
            <w:noWrap w:val="0"/>
            <w:vAlign w:val="center"/>
          </w:tcPr>
          <w:p>
            <w:pPr>
              <w:jc w:val="center"/>
              <w:rPr>
                <w:rFonts w:hint="default" w:ascii="仿宋_GB2312" w:eastAsia="仿宋_GB2312"/>
                <w:kern w:val="0"/>
                <w:szCs w:val="21"/>
                <w:lang w:val="en-US" w:eastAsia="zh-CN"/>
              </w:rPr>
            </w:pPr>
            <w:r>
              <w:rPr>
                <w:rFonts w:hint="eastAsia" w:ascii="仿宋_GB2312" w:eastAsia="仿宋_GB2312"/>
                <w:color w:val="000000"/>
                <w:kern w:val="0"/>
                <w:szCs w:val="21"/>
                <w:lang w:val="en-US" w:eastAsia="zh-CN"/>
              </w:rPr>
              <w:t>养成良好的节能减排习惯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color w:val="000000"/>
                <w:kern w:val="0"/>
                <w:szCs w:val="21"/>
                <w:lang w:val="en-US" w:eastAsia="zh-CN"/>
              </w:rPr>
              <w:t>做好资源的有效利用</w:t>
            </w:r>
          </w:p>
        </w:tc>
        <w:tc>
          <w:tcPr>
            <w:tcW w:w="2629" w:type="dxa"/>
            <w:noWrap w:val="0"/>
            <w:vAlign w:val="center"/>
          </w:tcPr>
          <w:p>
            <w:pPr>
              <w:jc w:val="center"/>
              <w:rPr>
                <w:rFonts w:hint="eastAsia" w:ascii="仿宋_GB2312" w:eastAsia="仿宋_GB2312"/>
                <w:kern w:val="0"/>
                <w:szCs w:val="21"/>
              </w:rPr>
            </w:pPr>
            <w:r>
              <w:rPr>
                <w:rFonts w:hint="eastAsia" w:ascii="仿宋_GB2312" w:eastAsia="仿宋_GB2312"/>
                <w:color w:val="000000"/>
                <w:kern w:val="0"/>
                <w:szCs w:val="21"/>
                <w:lang w:val="en-US" w:eastAsia="zh-CN"/>
              </w:rPr>
              <w:t>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color w:val="000000"/>
                <w:kern w:val="0"/>
                <w:szCs w:val="21"/>
                <w:lang w:val="en-US" w:eastAsia="zh-CN"/>
              </w:rPr>
              <w:t>让服务对象满意度达标</w:t>
            </w:r>
          </w:p>
        </w:tc>
        <w:tc>
          <w:tcPr>
            <w:tcW w:w="2629" w:type="dxa"/>
            <w:noWrap w:val="0"/>
            <w:vAlign w:val="center"/>
          </w:tcPr>
          <w:p>
            <w:pPr>
              <w:jc w:val="center"/>
              <w:rPr>
                <w:rFonts w:hint="eastAsia" w:ascii="仿宋_GB2312" w:eastAsia="仿宋_GB2312"/>
                <w:kern w:val="0"/>
                <w:szCs w:val="21"/>
              </w:rPr>
            </w:pPr>
            <w:r>
              <w:rPr>
                <w:rFonts w:hint="eastAsia" w:ascii="仿宋_GB2312" w:eastAsia="仿宋_GB2312"/>
                <w:color w:val="000000"/>
                <w:kern w:val="0"/>
                <w:szCs w:val="21"/>
                <w:lang w:val="en-US" w:eastAsia="zh-CN"/>
              </w:rPr>
              <w:t>服务对象满意度≧95%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w:t>
            </w:r>
          </w:p>
        </w:tc>
        <w:tc>
          <w:tcPr>
            <w:tcW w:w="2629" w:type="dxa"/>
            <w:noWrap w:val="0"/>
            <w:vAlign w:val="center"/>
          </w:tcPr>
          <w:p>
            <w:pPr>
              <w:jc w:val="center"/>
              <w:rPr>
                <w:rFonts w:hint="eastAsia" w:ascii="仿宋_GB2312" w:eastAsia="仿宋_GB2312"/>
                <w:kern w:val="0"/>
                <w:szCs w:val="21"/>
              </w:rPr>
            </w:pPr>
          </w:p>
        </w:tc>
      </w:tr>
    </w:tbl>
    <w:p>
      <w:pPr>
        <w:widowControl/>
        <w:tabs>
          <w:tab w:val="left" w:pos="1333"/>
          <w:tab w:val="left" w:pos="3793"/>
          <w:tab w:val="left" w:pos="5853"/>
        </w:tabs>
        <w:jc w:val="left"/>
        <w:rPr>
          <w:rFonts w:hint="eastAsia"/>
          <w:kern w:val="0"/>
          <w:szCs w:val="21"/>
        </w:rPr>
      </w:pPr>
    </w:p>
    <w:p>
      <w:pPr>
        <w:widowControl/>
        <w:tabs>
          <w:tab w:val="left" w:pos="1333"/>
          <w:tab w:val="left" w:pos="3793"/>
          <w:tab w:val="left" w:pos="5853"/>
        </w:tabs>
        <w:jc w:val="left"/>
        <w:rPr>
          <w:rFonts w:hint="eastAsia" w:ascii="仿宋_GB2312" w:eastAsia="仿宋_GB2312"/>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924D4"/>
    <w:rsid w:val="025B2EFB"/>
    <w:rsid w:val="0BD80C1B"/>
    <w:rsid w:val="0C5604ED"/>
    <w:rsid w:val="0FE82CA3"/>
    <w:rsid w:val="17AB299E"/>
    <w:rsid w:val="1E164482"/>
    <w:rsid w:val="21A12E2B"/>
    <w:rsid w:val="22BB4532"/>
    <w:rsid w:val="23D65460"/>
    <w:rsid w:val="246B7BF2"/>
    <w:rsid w:val="25737B4A"/>
    <w:rsid w:val="2677127C"/>
    <w:rsid w:val="297E1083"/>
    <w:rsid w:val="303D0F32"/>
    <w:rsid w:val="30D819B6"/>
    <w:rsid w:val="32465A4A"/>
    <w:rsid w:val="3B1300FB"/>
    <w:rsid w:val="3EF53E4B"/>
    <w:rsid w:val="41EF76BD"/>
    <w:rsid w:val="43743B81"/>
    <w:rsid w:val="43B3590D"/>
    <w:rsid w:val="453045AB"/>
    <w:rsid w:val="49E924D4"/>
    <w:rsid w:val="547A7CB7"/>
    <w:rsid w:val="5CFF13B7"/>
    <w:rsid w:val="6BEE1AD7"/>
    <w:rsid w:val="6DA812B7"/>
    <w:rsid w:val="6DFC3282"/>
    <w:rsid w:val="6EF341A8"/>
    <w:rsid w:val="705008C5"/>
    <w:rsid w:val="71A5151A"/>
    <w:rsid w:val="71B21153"/>
    <w:rsid w:val="769D5D17"/>
    <w:rsid w:val="7B1E145B"/>
    <w:rsid w:val="7B8A45DD"/>
    <w:rsid w:val="7C0A211C"/>
    <w:rsid w:val="7DAF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2020-12-09T00:42:00Z</dcterms:created>
  <dc:creator>Administrator</dc:creator>
  <cp:lastModifiedBy>Mr.Z</cp:lastModifiedBy>
  <cp:lastPrinted>2020-12-16T07:00:00Z</cp:lastPrinted>
  <dcterms:modified xsi:type="dcterms:W3CDTF">2021-01-26T01:16:17Z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